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A1" w:rsidRPr="00A548C2" w:rsidRDefault="00C94FBE" w:rsidP="006F177F">
      <w:pPr>
        <w:tabs>
          <w:tab w:val="left" w:pos="14175"/>
        </w:tabs>
      </w:pPr>
      <w:bookmarkStart w:id="0" w:name="_GoBack"/>
      <w:r w:rsidRPr="00C94FBE">
        <w:rPr>
          <w:noProof/>
        </w:rPr>
        <w:drawing>
          <wp:inline distT="0" distB="0" distL="0" distR="0">
            <wp:extent cx="9258300" cy="6838950"/>
            <wp:effectExtent l="0" t="0" r="19050" b="1905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5D" w:rsidRDefault="00457D5D" w:rsidP="00D04C2E">
      <w:pPr>
        <w:spacing w:after="0" w:line="240" w:lineRule="auto"/>
      </w:pPr>
      <w:r>
        <w:separator/>
      </w:r>
    </w:p>
  </w:endnote>
  <w:endnote w:type="continuationSeparator" w:id="0">
    <w:p w:rsidR="00457D5D" w:rsidRDefault="00457D5D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5D" w:rsidRDefault="00457D5D" w:rsidP="00D04C2E">
      <w:pPr>
        <w:spacing w:after="0" w:line="240" w:lineRule="auto"/>
      </w:pPr>
      <w:r>
        <w:separator/>
      </w:r>
    </w:p>
  </w:footnote>
  <w:footnote w:type="continuationSeparator" w:id="0">
    <w:p w:rsidR="00457D5D" w:rsidRDefault="00457D5D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6496"/>
    <w:rsid w:val="00057868"/>
    <w:rsid w:val="00077FC8"/>
    <w:rsid w:val="000C65FC"/>
    <w:rsid w:val="000D13B6"/>
    <w:rsid w:val="000E4F1C"/>
    <w:rsid w:val="00190681"/>
    <w:rsid w:val="001D688D"/>
    <w:rsid w:val="001E2DE7"/>
    <w:rsid w:val="00223165"/>
    <w:rsid w:val="002345B5"/>
    <w:rsid w:val="00263AB4"/>
    <w:rsid w:val="002850AC"/>
    <w:rsid w:val="002976F3"/>
    <w:rsid w:val="002A17CE"/>
    <w:rsid w:val="002C5492"/>
    <w:rsid w:val="002C6A21"/>
    <w:rsid w:val="002E42A7"/>
    <w:rsid w:val="00310469"/>
    <w:rsid w:val="003340AA"/>
    <w:rsid w:val="00353BBF"/>
    <w:rsid w:val="00361EFC"/>
    <w:rsid w:val="00366D77"/>
    <w:rsid w:val="00377E4C"/>
    <w:rsid w:val="003A001A"/>
    <w:rsid w:val="003A1FF1"/>
    <w:rsid w:val="0040479C"/>
    <w:rsid w:val="0044007D"/>
    <w:rsid w:val="00457D5D"/>
    <w:rsid w:val="00472D30"/>
    <w:rsid w:val="00480FF9"/>
    <w:rsid w:val="004C69BE"/>
    <w:rsid w:val="004D5AE2"/>
    <w:rsid w:val="005036F2"/>
    <w:rsid w:val="00546243"/>
    <w:rsid w:val="00570A98"/>
    <w:rsid w:val="00627418"/>
    <w:rsid w:val="006408CE"/>
    <w:rsid w:val="0069532B"/>
    <w:rsid w:val="006D7289"/>
    <w:rsid w:val="006F177F"/>
    <w:rsid w:val="006F4D81"/>
    <w:rsid w:val="00703829"/>
    <w:rsid w:val="00707783"/>
    <w:rsid w:val="00723F40"/>
    <w:rsid w:val="007505E6"/>
    <w:rsid w:val="00804CDB"/>
    <w:rsid w:val="00805B5C"/>
    <w:rsid w:val="00850972"/>
    <w:rsid w:val="00864DF2"/>
    <w:rsid w:val="008A2A7B"/>
    <w:rsid w:val="00903F45"/>
    <w:rsid w:val="009257F3"/>
    <w:rsid w:val="00994B28"/>
    <w:rsid w:val="009A4EAB"/>
    <w:rsid w:val="009E5FEA"/>
    <w:rsid w:val="00A2430A"/>
    <w:rsid w:val="00A548C2"/>
    <w:rsid w:val="00A8381D"/>
    <w:rsid w:val="00A91D24"/>
    <w:rsid w:val="00AA437B"/>
    <w:rsid w:val="00AC63E6"/>
    <w:rsid w:val="00B1121D"/>
    <w:rsid w:val="00B3296F"/>
    <w:rsid w:val="00B470E4"/>
    <w:rsid w:val="00BB2D84"/>
    <w:rsid w:val="00BD4528"/>
    <w:rsid w:val="00BD74A1"/>
    <w:rsid w:val="00C23028"/>
    <w:rsid w:val="00C4100A"/>
    <w:rsid w:val="00C93543"/>
    <w:rsid w:val="00C94FBE"/>
    <w:rsid w:val="00CA066E"/>
    <w:rsid w:val="00CA13E1"/>
    <w:rsid w:val="00CF631F"/>
    <w:rsid w:val="00D04C2E"/>
    <w:rsid w:val="00D32FE8"/>
    <w:rsid w:val="00D502A3"/>
    <w:rsid w:val="00D81088"/>
    <w:rsid w:val="00DC7F34"/>
    <w:rsid w:val="00DE066A"/>
    <w:rsid w:val="00E6725F"/>
    <w:rsid w:val="00EC3F73"/>
    <w:rsid w:val="00EC6E68"/>
    <w:rsid w:val="00F32327"/>
    <w:rsid w:val="00F62CFD"/>
    <w:rsid w:val="00F73080"/>
    <w:rsid w:val="00F80EBA"/>
    <w:rsid w:val="00FA25EC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</a:t>
            </a:r>
            <a:r>
              <a:rPr lang="en-US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4</a:t>
            </a: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 квартал 202</a:t>
            </a:r>
            <a:r>
              <a:rPr lang="en-US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1</a:t>
            </a: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 года</a:t>
            </a:r>
          </a:p>
        </c:rich>
      </c:tx>
      <c:layout>
        <c:manualLayout>
          <c:xMode val="edge"/>
          <c:yMode val="edge"/>
          <c:x val="0.13427531044785418"/>
          <c:y val="2.4249546825642742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57711458907143E-2"/>
          <c:y val="0.11783241579482227"/>
          <c:w val="0.91761457286974935"/>
          <c:h val="0.327345864496743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649676506493E-3"/>
                  <c:y val="-2.9225685229457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C3-4947-B52A-65ED23320BD2}"/>
                </c:ext>
              </c:extLst>
            </c:dLbl>
            <c:dLbl>
              <c:idx val="1"/>
              <c:layout>
                <c:manualLayout>
                  <c:x val="5.4716308609571952E-3"/>
                  <c:y val="-5.7008312679578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C3-4947-B52A-65ED23320BD2}"/>
                </c:ext>
              </c:extLst>
            </c:dLbl>
            <c:dLbl>
              <c:idx val="2"/>
              <c:layout>
                <c:manualLayout>
                  <c:x val="7.3912057289135151E-3"/>
                  <c:y val="-0.125177695406458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C3-4947-B52A-65ED23320BD2}"/>
                </c:ext>
              </c:extLst>
            </c:dLbl>
            <c:dLbl>
              <c:idx val="3"/>
              <c:layout>
                <c:manualLayout>
                  <c:x val="6.4627415400235469E-3"/>
                  <c:y val="-0.168394563492933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C3-4947-B52A-65ED23320BD2}"/>
                </c:ext>
              </c:extLst>
            </c:dLbl>
            <c:dLbl>
              <c:idx val="4"/>
              <c:layout>
                <c:manualLayout>
                  <c:x val="5.2059233336573668E-3"/>
                  <c:y val="-0.148888498965484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C3-4947-B52A-65ED23320BD2}"/>
                </c:ext>
              </c:extLst>
            </c:dLbl>
            <c:dLbl>
              <c:idx val="5"/>
              <c:layout>
                <c:manualLayout>
                  <c:x val="4.7988291587008416E-3"/>
                  <c:y val="-6.7790084735229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C3-4947-B52A-65ED23320BD2}"/>
                </c:ext>
              </c:extLst>
            </c:dLbl>
            <c:dLbl>
              <c:idx val="6"/>
              <c:layout>
                <c:manualLayout>
                  <c:x val="7.5534385362323537E-3"/>
                  <c:y val="-8.3818276197369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C3-4947-B52A-65ED23320BD2}"/>
                </c:ext>
              </c:extLst>
            </c:dLbl>
            <c:dLbl>
              <c:idx val="7"/>
              <c:layout>
                <c:manualLayout>
                  <c:x val="4.3595476491364495E-3"/>
                  <c:y val="-2.9309616242259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C3-4947-B52A-65ED23320BD2}"/>
                </c:ext>
              </c:extLst>
            </c:dLbl>
            <c:dLbl>
              <c:idx val="8"/>
              <c:layout>
                <c:manualLayout>
                  <c:x val="5.0377499108907701E-3"/>
                  <c:y val="-4.5561087593855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C3-4947-B52A-65ED23320BD2}"/>
                </c:ext>
              </c:extLst>
            </c:dLbl>
            <c:dLbl>
              <c:idx val="9"/>
              <c:layout>
                <c:manualLayout>
                  <c:x val="5.867599883347915E-3"/>
                  <c:y val="-9.0702666344979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C3-4947-B52A-65ED23320BD2}"/>
                </c:ext>
              </c:extLst>
            </c:dLbl>
            <c:dLbl>
              <c:idx val="10"/>
              <c:layout>
                <c:manualLayout>
                  <c:x val="4.8784334057008355E-3"/>
                  <c:y val="-2.5056331746832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C3-4947-B52A-65ED23320BD2}"/>
                </c:ext>
              </c:extLst>
            </c:dLbl>
            <c:dLbl>
              <c:idx val="11"/>
              <c:layout>
                <c:manualLayout>
                  <c:x val="3.1915146409168009E-3"/>
                  <c:y val="-2.1274464647350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C3-4947-B52A-65ED23320BD2}"/>
                </c:ext>
              </c:extLst>
            </c:dLbl>
            <c:dLbl>
              <c:idx val="12"/>
              <c:layout>
                <c:manualLayout>
                  <c:x val="3.2569694220321234E-3"/>
                  <c:y val="-2.246017297977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7C3-4947-B52A-65ED23320BD2}"/>
                </c:ext>
              </c:extLst>
            </c:dLbl>
            <c:dLbl>
              <c:idx val="13"/>
              <c:layout>
                <c:manualLayout>
                  <c:x val="3.7898966332913096E-3"/>
                  <c:y val="-5.2678554456458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7C3-4947-B52A-65ED23320BD2}"/>
                </c:ext>
              </c:extLst>
            </c:dLbl>
            <c:dLbl>
              <c:idx val="14"/>
              <c:layout>
                <c:manualLayout>
                  <c:x val="7.6710627220980118E-3"/>
                  <c:y val="-2.6463272870835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2.8998628257887515E-2"/>
                      <c:h val="2.45218929806476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B7C3-4947-B52A-65ED23320BD2}"/>
                </c:ext>
              </c:extLst>
            </c:dLbl>
            <c:dLbl>
              <c:idx val="15"/>
              <c:layout>
                <c:manualLayout>
                  <c:x val="4.0880075175789218E-3"/>
                  <c:y val="-2.6661402700706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C3-4947-B52A-65ED23320BD2}"/>
                </c:ext>
              </c:extLst>
            </c:dLbl>
            <c:dLbl>
              <c:idx val="16"/>
              <c:layout>
                <c:manualLayout>
                  <c:x val="4.11522633744856E-3"/>
                  <c:y val="-0.105849582172701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7C3-4947-B52A-65ED23320BD2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Лист1!$A$2:$A$18</c:f>
              <c:strCache>
                <c:ptCount val="17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ЮЛ и ИП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Регистрация ККТ</c:v>
                </c:pt>
                <c:pt idx="15">
                  <c:v>Надзор в области организации и проведения азартных игр и лотерей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40</c:v>
                </c:pt>
                <c:pt idx="1">
                  <c:v>164</c:v>
                </c:pt>
                <c:pt idx="2">
                  <c:v>479</c:v>
                </c:pt>
                <c:pt idx="3">
                  <c:v>682</c:v>
                </c:pt>
                <c:pt idx="4">
                  <c:v>581</c:v>
                </c:pt>
                <c:pt idx="5">
                  <c:v>207</c:v>
                </c:pt>
                <c:pt idx="6">
                  <c:v>285</c:v>
                </c:pt>
                <c:pt idx="7">
                  <c:v>46</c:v>
                </c:pt>
                <c:pt idx="8">
                  <c:v>94</c:v>
                </c:pt>
                <c:pt idx="9">
                  <c:v>327</c:v>
                </c:pt>
                <c:pt idx="10">
                  <c:v>28</c:v>
                </c:pt>
                <c:pt idx="11">
                  <c:v>25</c:v>
                </c:pt>
                <c:pt idx="12">
                  <c:v>7</c:v>
                </c:pt>
                <c:pt idx="13">
                  <c:v>127</c:v>
                </c:pt>
                <c:pt idx="14">
                  <c:v>28</c:v>
                </c:pt>
                <c:pt idx="15">
                  <c:v>20</c:v>
                </c:pt>
                <c:pt idx="16">
                  <c:v>387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B7C3-4947-B52A-65ED23320B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0438656"/>
        <c:axId val="130440192"/>
        <c:axId val="0"/>
      </c:bar3DChart>
      <c:catAx>
        <c:axId val="130438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30440192"/>
        <c:crosses val="autoZero"/>
        <c:auto val="0"/>
        <c:lblAlgn val="ctr"/>
        <c:lblOffset val="100"/>
        <c:noMultiLvlLbl val="0"/>
      </c:catAx>
      <c:valAx>
        <c:axId val="130440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30438656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3"/>
          <c:y val="0.81955604938799176"/>
          <c:w val="0.2113095349247352"/>
          <c:h val="9.3332621075011502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802E8-16B2-4B63-8DD3-87398BA7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6</cp:revision>
  <dcterms:created xsi:type="dcterms:W3CDTF">2022-02-02T13:49:00Z</dcterms:created>
  <dcterms:modified xsi:type="dcterms:W3CDTF">2022-02-02T13:57:00Z</dcterms:modified>
</cp:coreProperties>
</file>